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6007" w14:textId="363AD06A" w:rsidR="002669CC" w:rsidRPr="004A68F9" w:rsidRDefault="002669CC">
      <w:pPr>
        <w:rPr>
          <w:rFonts w:ascii="ＭＳ 明朝" w:hAnsi="ＭＳ 明朝"/>
          <w:b/>
          <w:bCs/>
          <w:color w:val="3333FF"/>
          <w:sz w:val="21"/>
          <w:szCs w:val="21"/>
        </w:rPr>
      </w:pPr>
      <w:r w:rsidRPr="004A68F9">
        <w:rPr>
          <w:rFonts w:ascii="ＭＳ 明朝" w:hAnsi="ＭＳ 明朝" w:hint="eastAsia"/>
          <w:b/>
          <w:bCs/>
          <w:color w:val="3333FF"/>
          <w:sz w:val="21"/>
          <w:szCs w:val="21"/>
          <w:highlight w:val="cyan"/>
        </w:rPr>
        <w:t>＊タイトル字数：</w:t>
      </w:r>
      <w:r w:rsidRPr="004A68F9">
        <w:rPr>
          <w:rFonts w:asciiTheme="minorEastAsia" w:hAnsiTheme="minorEastAsia" w:cs="HuiFont"/>
          <w:b/>
          <w:bCs/>
          <w:color w:val="3333FF"/>
          <w:kern w:val="0"/>
          <w:sz w:val="21"/>
          <w:szCs w:val="21"/>
          <w:highlight w:val="cyan"/>
        </w:rPr>
        <w:t>全角</w:t>
      </w:r>
      <w:r w:rsidRPr="004A68F9">
        <w:rPr>
          <w:rFonts w:asciiTheme="minorEastAsia" w:hAnsiTheme="minorEastAsia" w:cs="HuiFont" w:hint="eastAsia"/>
          <w:b/>
          <w:bCs/>
          <w:color w:val="3333FF"/>
          <w:kern w:val="0"/>
          <w:sz w:val="21"/>
          <w:szCs w:val="21"/>
          <w:highlight w:val="cyan"/>
        </w:rPr>
        <w:t>半角に関わらず</w:t>
      </w:r>
      <w:r w:rsidRPr="004A68F9">
        <w:rPr>
          <w:rFonts w:asciiTheme="minorEastAsia" w:hAnsiTheme="minorEastAsia"/>
          <w:b/>
          <w:bCs/>
          <w:color w:val="3333FF"/>
          <w:kern w:val="0"/>
          <w:sz w:val="21"/>
          <w:szCs w:val="21"/>
          <w:highlight w:val="cyan"/>
        </w:rPr>
        <w:t>70</w:t>
      </w:r>
      <w:r w:rsidRPr="004A68F9">
        <w:rPr>
          <w:rFonts w:asciiTheme="minorEastAsia" w:hAnsiTheme="minorEastAsia" w:cs="HuiFont"/>
          <w:b/>
          <w:bCs/>
          <w:color w:val="3333FF"/>
          <w:kern w:val="0"/>
          <w:sz w:val="21"/>
          <w:szCs w:val="21"/>
          <w:highlight w:val="cyan"/>
        </w:rPr>
        <w:t>字以内</w:t>
      </w:r>
      <w:r w:rsidRPr="004A68F9">
        <w:rPr>
          <w:rFonts w:asciiTheme="minorEastAsia" w:hAnsiTheme="minorEastAsia" w:cs="Microsoft Tai Le"/>
          <w:b/>
          <w:bCs/>
          <w:color w:val="3333FF"/>
          <w:kern w:val="0"/>
          <w:sz w:val="21"/>
          <w:szCs w:val="21"/>
          <w:highlight w:val="cyan"/>
        </w:rPr>
        <w:t>（</w:t>
      </w:r>
      <w:r w:rsidRPr="004A68F9">
        <w:rPr>
          <w:rFonts w:asciiTheme="minorEastAsia" w:hAnsiTheme="minorEastAsia" w:cs="HuiFont"/>
          <w:b/>
          <w:bCs/>
          <w:color w:val="3333FF"/>
          <w:kern w:val="0"/>
          <w:sz w:val="21"/>
          <w:szCs w:val="21"/>
          <w:highlight w:val="cyan"/>
        </w:rPr>
        <w:t>日本語</w:t>
      </w:r>
      <w:r w:rsidRPr="004A68F9">
        <w:rPr>
          <w:rFonts w:asciiTheme="minorEastAsia" w:hAnsiTheme="minorEastAsia" w:cs="Microsoft Tai Le"/>
          <w:b/>
          <w:bCs/>
          <w:color w:val="3333FF"/>
          <w:kern w:val="0"/>
          <w:sz w:val="21"/>
          <w:szCs w:val="21"/>
          <w:highlight w:val="cyan"/>
        </w:rPr>
        <w:t>）</w:t>
      </w:r>
    </w:p>
    <w:p w14:paraId="6510884F" w14:textId="21D964D7" w:rsidR="00F0338F" w:rsidRPr="00F0338F" w:rsidRDefault="00264B4F">
      <w:pPr>
        <w:rPr>
          <w:rFonts w:ascii="ＭＳ 明朝" w:hAnsi="ＭＳ 明朝"/>
        </w:rPr>
      </w:pPr>
      <w:r w:rsidRPr="00F0338F">
        <w:rPr>
          <w:rFonts w:ascii="ＭＳ 明朝" w:hAnsi="ＭＳ 明朝" w:hint="eastAsia"/>
        </w:rPr>
        <w:t>ストレス条件下におけるグルココルチコイドの生殖機能維持機構の解明</w:t>
      </w:r>
    </w:p>
    <w:p w14:paraId="483816DB" w14:textId="77777777" w:rsidR="002669CC" w:rsidRDefault="002669CC">
      <w:pPr>
        <w:rPr>
          <w:rFonts w:ascii="ＭＳ 明朝" w:hAnsi="ＭＳ 明朝"/>
          <w:color w:val="3333FF"/>
        </w:rPr>
      </w:pPr>
    </w:p>
    <w:p w14:paraId="464A1B03" w14:textId="095BF754" w:rsidR="00F0338F" w:rsidRPr="004A68F9" w:rsidRDefault="008543DE">
      <w:pPr>
        <w:rPr>
          <w:rFonts w:ascii="ＭＳ 明朝" w:hAnsi="ＭＳ 明朝"/>
          <w:b/>
          <w:bCs/>
          <w:color w:val="3333FF"/>
          <w:sz w:val="21"/>
          <w:szCs w:val="21"/>
        </w:rPr>
      </w:pPr>
      <w:r w:rsidRPr="004A68F9">
        <w:rPr>
          <w:rFonts w:ascii="ＭＳ 明朝" w:hAnsi="ＭＳ 明朝" w:hint="eastAsia"/>
          <w:b/>
          <w:bCs/>
          <w:color w:val="3333FF"/>
          <w:sz w:val="21"/>
          <w:szCs w:val="21"/>
          <w:highlight w:val="cyan"/>
        </w:rPr>
        <w:t>＊所属名</w:t>
      </w:r>
      <w:r w:rsidR="002669CC" w:rsidRPr="004A68F9">
        <w:rPr>
          <w:rFonts w:ascii="ＭＳ 明朝" w:hAnsi="ＭＳ 明朝" w:hint="eastAsia"/>
          <w:b/>
          <w:bCs/>
          <w:color w:val="3333FF"/>
          <w:sz w:val="21"/>
          <w:szCs w:val="21"/>
          <w:highlight w:val="cyan"/>
        </w:rPr>
        <w:t>：</w:t>
      </w:r>
      <w:r w:rsidR="00BC20A4" w:rsidRPr="004A68F9">
        <w:rPr>
          <w:rFonts w:ascii="ＭＳ 明朝" w:hAnsi="ＭＳ 明朝" w:hint="eastAsia"/>
          <w:b/>
          <w:bCs/>
          <w:color w:val="3333FF"/>
          <w:sz w:val="21"/>
          <w:szCs w:val="21"/>
          <w:highlight w:val="cyan"/>
        </w:rPr>
        <w:t>「登録時の所属機関リスト」</w:t>
      </w:r>
      <w:r w:rsidRPr="004A68F9">
        <w:rPr>
          <w:rFonts w:ascii="ＭＳ 明朝" w:hAnsi="ＭＳ 明朝" w:hint="eastAsia"/>
          <w:b/>
          <w:bCs/>
          <w:color w:val="3333FF"/>
          <w:sz w:val="21"/>
          <w:szCs w:val="21"/>
          <w:highlight w:val="cyan"/>
        </w:rPr>
        <w:t>に略名があれば、その表記でお願いします。</w:t>
      </w:r>
    </w:p>
    <w:p w14:paraId="23FB138A" w14:textId="77777777" w:rsidR="00F0338F" w:rsidRPr="00F0338F" w:rsidRDefault="00264B4F">
      <w:pPr>
        <w:rPr>
          <w:rFonts w:ascii="ＭＳ 明朝" w:hAnsi="ＭＳ 明朝"/>
        </w:rPr>
      </w:pPr>
      <w:r w:rsidRPr="00F0338F">
        <w:rPr>
          <w:rFonts w:ascii="ＭＳ 明朝" w:hAnsi="ＭＳ 明朝" w:hint="eastAsia"/>
        </w:rPr>
        <w:t>○繁殖太郎</w:t>
      </w:r>
      <w:r w:rsidRPr="00264B4F">
        <w:rPr>
          <w:rFonts w:ascii="ＭＳ 明朝" w:hAnsi="ＭＳ 明朝" w:hint="eastAsia"/>
          <w:vertAlign w:val="superscript"/>
        </w:rPr>
        <w:t>１</w:t>
      </w:r>
      <w:r w:rsidRPr="00F0338F">
        <w:rPr>
          <w:rFonts w:ascii="ＭＳ 明朝" w:hAnsi="ＭＳ 明朝" w:hint="eastAsia"/>
        </w:rPr>
        <w:t>，生殖花子</w:t>
      </w:r>
      <w:r w:rsidRPr="00264B4F">
        <w:rPr>
          <w:rFonts w:ascii="ＭＳ 明朝" w:hAnsi="ＭＳ 明朝" w:hint="eastAsia"/>
          <w:vertAlign w:val="superscript"/>
        </w:rPr>
        <w:t>２</w:t>
      </w:r>
      <w:r w:rsidRPr="00F0338F">
        <w:rPr>
          <w:rFonts w:ascii="ＭＳ 明朝" w:hAnsi="ＭＳ 明朝" w:hint="eastAsia"/>
        </w:rPr>
        <w:t>，内分泌学</w:t>
      </w:r>
      <w:r w:rsidRPr="00264B4F">
        <w:rPr>
          <w:rFonts w:ascii="ＭＳ 明朝" w:hAnsi="ＭＳ 明朝" w:hint="eastAsia"/>
          <w:vertAlign w:val="superscript"/>
        </w:rPr>
        <w:t>１</w:t>
      </w:r>
      <w:r w:rsidRPr="00F0338F">
        <w:rPr>
          <w:rFonts w:ascii="ＭＳ 明朝" w:hAnsi="ＭＳ 明朝" w:hint="eastAsia"/>
        </w:rPr>
        <w:t>（</w:t>
      </w:r>
      <w:r w:rsidRPr="00264B4F">
        <w:rPr>
          <w:rFonts w:ascii="ＭＳ 明朝" w:hAnsi="ＭＳ 明朝" w:hint="eastAsia"/>
          <w:vertAlign w:val="superscript"/>
        </w:rPr>
        <w:t>１</w:t>
      </w:r>
      <w:r w:rsidRPr="00F0338F">
        <w:rPr>
          <w:rFonts w:ascii="ＭＳ 明朝" w:hAnsi="ＭＳ 明朝" w:hint="eastAsia"/>
        </w:rPr>
        <w:t>繁殖大院農生命，</w:t>
      </w:r>
      <w:r w:rsidRPr="00264B4F">
        <w:rPr>
          <w:rFonts w:ascii="ＭＳ 明朝" w:hAnsi="ＭＳ 明朝" w:hint="eastAsia"/>
          <w:vertAlign w:val="superscript"/>
        </w:rPr>
        <w:t>２</w:t>
      </w:r>
      <w:r w:rsidRPr="00F0338F">
        <w:rPr>
          <w:rFonts w:ascii="ＭＳ 明朝" w:hAnsi="ＭＳ 明朝" w:hint="eastAsia"/>
        </w:rPr>
        <w:t>生殖大医）</w:t>
      </w:r>
    </w:p>
    <w:p w14:paraId="7229599D" w14:textId="7D63DF20" w:rsidR="00F0338F" w:rsidRDefault="00B72E48">
      <w:pPr>
        <w:rPr>
          <w:rFonts w:ascii="ＭＳ 明朝" w:eastAsia="SimSun" w:hAnsi="ＭＳ 明朝"/>
          <w:lang w:eastAsia="zh-CN"/>
        </w:rPr>
      </w:pPr>
    </w:p>
    <w:p w14:paraId="7B73D3C5" w14:textId="0ED07521" w:rsidR="002669CC" w:rsidRPr="004A68F9" w:rsidRDefault="002669CC">
      <w:pPr>
        <w:rPr>
          <w:rFonts w:ascii="ＭＳ 明朝" w:eastAsia="SimSun" w:hAnsi="ＭＳ 明朝"/>
          <w:b/>
          <w:bCs/>
          <w:color w:val="3333FF"/>
          <w:sz w:val="21"/>
          <w:szCs w:val="21"/>
          <w:lang w:eastAsia="zh-CN"/>
        </w:rPr>
      </w:pPr>
      <w:r w:rsidRPr="004A68F9">
        <w:rPr>
          <w:rFonts w:asciiTheme="minorEastAsia" w:eastAsiaTheme="minorEastAsia" w:hAnsiTheme="minorEastAsia" w:hint="eastAsia"/>
          <w:b/>
          <w:bCs/>
          <w:color w:val="3333FF"/>
          <w:sz w:val="21"/>
          <w:szCs w:val="21"/>
          <w:highlight w:val="cyan"/>
        </w:rPr>
        <w:t>＊本文</w:t>
      </w:r>
      <w:r w:rsidR="00047B69" w:rsidRPr="004A68F9">
        <w:rPr>
          <w:rFonts w:asciiTheme="minorEastAsia" w:eastAsiaTheme="minorEastAsia" w:hAnsiTheme="minorEastAsia" w:hint="eastAsia"/>
          <w:b/>
          <w:bCs/>
          <w:color w:val="3333FF"/>
          <w:sz w:val="21"/>
          <w:szCs w:val="21"/>
          <w:highlight w:val="cyan"/>
        </w:rPr>
        <w:t>の</w:t>
      </w:r>
      <w:r w:rsidRPr="004A68F9">
        <w:rPr>
          <w:rFonts w:asciiTheme="minorEastAsia" w:eastAsiaTheme="minorEastAsia" w:hAnsiTheme="minorEastAsia" w:hint="eastAsia"/>
          <w:b/>
          <w:bCs/>
          <w:color w:val="3333FF"/>
          <w:sz w:val="21"/>
          <w:szCs w:val="21"/>
          <w:highlight w:val="cyan"/>
        </w:rPr>
        <w:t>字数：全角半角に関わらす</w:t>
      </w:r>
      <w:r w:rsidRPr="004A68F9">
        <w:rPr>
          <w:rFonts w:asciiTheme="minorEastAsia" w:eastAsiaTheme="minorEastAsia" w:hAnsiTheme="minorEastAsia"/>
          <w:b/>
          <w:bCs/>
          <w:color w:val="3333FF"/>
          <w:sz w:val="21"/>
          <w:szCs w:val="21"/>
          <w:highlight w:val="cyan"/>
        </w:rPr>
        <w:t>860字以内（日本語）</w:t>
      </w:r>
    </w:p>
    <w:p w14:paraId="375FDCFD" w14:textId="0D3CC86B" w:rsidR="00F0338F" w:rsidRPr="00F0338F" w:rsidRDefault="00264B4F">
      <w:pPr>
        <w:rPr>
          <w:rFonts w:ascii="ＭＳ 明朝" w:hAnsi="ＭＳ 明朝"/>
        </w:rPr>
      </w:pPr>
      <w:r w:rsidRPr="00F0338F">
        <w:rPr>
          <w:rFonts w:ascii="ＭＳ 明朝" w:hAnsi="ＭＳ 明朝" w:hint="eastAsia"/>
        </w:rPr>
        <w:t>【目的】従来，ストレス時に副腎皮質から多量に分泌されるグルココルチコイド（GC</w:t>
      </w:r>
      <w:r w:rsidRPr="00F0338F">
        <w:rPr>
          <w:rFonts w:ascii="ＭＳ 明朝" w:hAnsi="ＭＳ 明朝"/>
        </w:rPr>
        <w:t>）</w:t>
      </w:r>
      <w:r w:rsidRPr="00F0338F">
        <w:rPr>
          <w:rFonts w:ascii="ＭＳ 明朝" w:hAnsi="ＭＳ 明朝" w:hint="eastAsia"/>
        </w:rPr>
        <w:t>は，生殖機能に対して抑制的に働くと考えられてきた。しかし，我々はこれまで，腫瘍壊死因子-</w:t>
      </w:r>
      <w:r w:rsidRPr="00F0338F">
        <w:rPr>
          <w:rFonts w:ascii="ＭＳ 明朝" w:hAnsi="ＭＳ 明朝"/>
        </w:rPr>
        <w:t>&amp;alpha;</w:t>
      </w:r>
      <w:r w:rsidRPr="00F0338F">
        <w:rPr>
          <w:rFonts w:ascii="ＭＳ 明朝" w:hAnsi="ＭＳ 明朝" w:hint="eastAsia"/>
        </w:rPr>
        <w:t>による黄体形成ホルモン（LH）のパルス状・サージ状分泌の抑制が，GCにより逆に緩和されることを見出した。本研究では，感染・飢餓・拘束の3種類のストレス刺激を用いて，GCの生殖機能維持作用のストレス特異性を検討し，さらにその作用機序を明らかにすることを目的とした。【方法】実験には副腎摘出（ADX）あるいは非ADXの雌ラットを用い，頸静脈に採血用カニューレを留置した。採血はLHパルス観察では5分毎3時間，サージ観察では発情前期の12時から20時まで1時間毎に行い，LH濃度を測定した。感染・飢餓ストレス条件として，採血開始1時間後にそれぞれリポ多糖</w:t>
      </w:r>
      <w:r w:rsidRPr="00F0338F">
        <w:rPr>
          <w:rFonts w:ascii="ＭＳ 明朝" w:hAnsi="ＭＳ 明朝"/>
        </w:rPr>
        <w:t xml:space="preserve"> </w:t>
      </w:r>
      <w:r w:rsidRPr="00F0338F">
        <w:rPr>
          <w:rFonts w:ascii="ＭＳ 明朝" w:hAnsi="ＭＳ 明朝" w:hint="eastAsia"/>
        </w:rPr>
        <w:t>(0.5 &amp;</w:t>
      </w:r>
      <w:proofErr w:type="spellStart"/>
      <w:r w:rsidRPr="00F0338F">
        <w:rPr>
          <w:rFonts w:ascii="ＭＳ 明朝" w:hAnsi="ＭＳ 明朝" w:hint="eastAsia"/>
        </w:rPr>
        <w:t>micro;g</w:t>
      </w:r>
      <w:proofErr w:type="spellEnd"/>
      <w:r w:rsidRPr="00F0338F">
        <w:rPr>
          <w:rFonts w:ascii="ＭＳ 明朝" w:hAnsi="ＭＳ 明朝" w:hint="eastAsia"/>
        </w:rPr>
        <w:t>/kg)，2-デオキシグルコース(100</w:t>
      </w:r>
      <w:r w:rsidRPr="00F0338F">
        <w:rPr>
          <w:rFonts w:ascii="ＭＳ 明朝" w:hAnsi="ＭＳ 明朝"/>
        </w:rPr>
        <w:t xml:space="preserve"> </w:t>
      </w:r>
      <w:r w:rsidRPr="00F0338F">
        <w:rPr>
          <w:rFonts w:ascii="ＭＳ 明朝" w:hAnsi="ＭＳ 明朝" w:hint="eastAsia"/>
        </w:rPr>
        <w:t>mg/kg)を静脈投与した。拘束ストレスとしては，１時間の四肢の緊縛を行った。ADXラットの一部には，ストレス負荷と同時にコルチコステロン(CS 25</w:t>
      </w:r>
      <w:r w:rsidRPr="00F0338F">
        <w:rPr>
          <w:rFonts w:ascii="ＭＳ 明朝" w:hAnsi="ＭＳ 明朝"/>
        </w:rPr>
        <w:t xml:space="preserve"> </w:t>
      </w:r>
      <w:r w:rsidRPr="00F0338F">
        <w:rPr>
          <w:rFonts w:ascii="ＭＳ 明朝" w:hAnsi="ＭＳ 明朝" w:hint="eastAsia"/>
        </w:rPr>
        <w:t>mg/kg)を皮下投与する群を用意した。パルスの観察では，さらにインドメタシン（IND</w:t>
      </w:r>
      <w:r w:rsidRPr="00F0338F">
        <w:rPr>
          <w:rFonts w:ascii="ＭＳ 明朝" w:hAnsi="ＭＳ 明朝"/>
        </w:rPr>
        <w:t xml:space="preserve"> </w:t>
      </w:r>
      <w:r w:rsidRPr="00F0338F">
        <w:rPr>
          <w:rFonts w:ascii="ＭＳ 明朝" w:hAnsi="ＭＳ 明朝" w:hint="eastAsia"/>
        </w:rPr>
        <w:t>10mg/kg）静脈投与群を用意した。【結果】全ストレスに共通して，ストレス時に血中CS濃度が上昇する非ADXラットよりもCSの上昇が起こらないADXラットの方が，LHパルス・サージいずれも顕著に抑制され，この抑制はCSの投与により緩和もしくは完全に阻害された。これらの結果から，ストレス条件下でのLH分泌の維持に，内因性のGC濃度上昇が不可欠であることが示された。さらに，INDの投与は，全てのストレス条件下でCSと同様なLHパルス維持作用を示した。このことから，プロスタグランジン（PG</w:t>
      </w:r>
      <w:r w:rsidRPr="00F0338F">
        <w:rPr>
          <w:rFonts w:ascii="ＭＳ 明朝" w:hAnsi="ＭＳ 明朝"/>
        </w:rPr>
        <w:t>）</w:t>
      </w:r>
      <w:r w:rsidRPr="00F0338F">
        <w:rPr>
          <w:rFonts w:ascii="ＭＳ 明朝" w:hAnsi="ＭＳ 明朝" w:hint="eastAsia"/>
        </w:rPr>
        <w:t>が今回用いた全てのストレス刺激の仲介物質として生殖機能を抑制する働きを持つこと，また，本実験で見られたCSのLHパルス維持効果はPGの生成阻害によるものであることを示唆している。</w:t>
      </w:r>
      <w:r w:rsidR="004A68F9">
        <w:rPr>
          <w:rFonts w:ascii="ＭＳ 明朝" w:hAnsi="ＭＳ 明朝"/>
        </w:rPr>
        <w:t xml:space="preserve"> </w:t>
      </w:r>
    </w:p>
    <w:sectPr w:rsidR="00F0338F" w:rsidRPr="00F033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1BD99" w14:textId="77777777" w:rsidR="00B72E48" w:rsidRDefault="00B72E48" w:rsidP="00047B69">
      <w:r>
        <w:separator/>
      </w:r>
    </w:p>
  </w:endnote>
  <w:endnote w:type="continuationSeparator" w:id="0">
    <w:p w14:paraId="5FC8BD52" w14:textId="77777777" w:rsidR="00B72E48" w:rsidRDefault="00B72E48" w:rsidP="0004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角ゴ ProN W3">
    <w:charset w:val="80"/>
    <w:family w:val="swiss"/>
    <w:pitch w:val="variable"/>
    <w:sig w:usb0="E00002FF" w:usb1="7AC7FFFF" w:usb2="00000012" w:usb3="00000000" w:csb0="0002000D" w:csb1="00000000"/>
  </w:font>
  <w:font w:name="HuiFont">
    <w:charset w:val="00"/>
    <w:family w:val="auto"/>
    <w:pitch w:val="variable"/>
    <w:sig w:usb0="A00002BF" w:usb1="68C7FCFB" w:usb2="00000010" w:usb3="00000000" w:csb0="0002009F" w:csb1="00000000"/>
  </w:font>
  <w:font w:name="Microsoft Tai Le">
    <w:panose1 w:val="020B0502040204020203"/>
    <w:charset w:val="00"/>
    <w:family w:val="swiss"/>
    <w:pitch w:val="variable"/>
    <w:sig w:usb0="00000003" w:usb1="00000000" w:usb2="4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813A3" w14:textId="77777777" w:rsidR="00B72E48" w:rsidRDefault="00B72E48" w:rsidP="00047B69">
      <w:r>
        <w:separator/>
      </w:r>
    </w:p>
  </w:footnote>
  <w:footnote w:type="continuationSeparator" w:id="0">
    <w:p w14:paraId="15522DB1" w14:textId="77777777" w:rsidR="00B72E48" w:rsidRDefault="00B72E48" w:rsidP="00047B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751"/>
    <w:rsid w:val="00047B69"/>
    <w:rsid w:val="00264B4F"/>
    <w:rsid w:val="002669CC"/>
    <w:rsid w:val="004A68F9"/>
    <w:rsid w:val="004D0A1D"/>
    <w:rsid w:val="00555FE6"/>
    <w:rsid w:val="00563BC7"/>
    <w:rsid w:val="006F1C08"/>
    <w:rsid w:val="008543DE"/>
    <w:rsid w:val="00917751"/>
    <w:rsid w:val="00B72E48"/>
    <w:rsid w:val="00BC20A4"/>
    <w:rsid w:val="00CA4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6F7848B"/>
  <w14:defaultImageDpi w14:val="300"/>
  <w15:docId w15:val="{F260FF61-DE66-4143-8D4F-6BA8992F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7B69"/>
    <w:pPr>
      <w:tabs>
        <w:tab w:val="center" w:pos="4252"/>
        <w:tab w:val="right" w:pos="8504"/>
      </w:tabs>
      <w:snapToGrid w:val="0"/>
    </w:pPr>
  </w:style>
  <w:style w:type="character" w:customStyle="1" w:styleId="a4">
    <w:name w:val="ヘッダー (文字)"/>
    <w:basedOn w:val="a0"/>
    <w:link w:val="a3"/>
    <w:uiPriority w:val="99"/>
    <w:rsid w:val="00047B69"/>
    <w:rPr>
      <w:kern w:val="2"/>
      <w:sz w:val="24"/>
      <w:szCs w:val="24"/>
    </w:rPr>
  </w:style>
  <w:style w:type="paragraph" w:styleId="a5">
    <w:name w:val="footer"/>
    <w:basedOn w:val="a"/>
    <w:link w:val="a6"/>
    <w:uiPriority w:val="99"/>
    <w:unhideWhenUsed/>
    <w:rsid w:val="00047B69"/>
    <w:pPr>
      <w:tabs>
        <w:tab w:val="center" w:pos="4252"/>
        <w:tab w:val="right" w:pos="8504"/>
      </w:tabs>
      <w:snapToGrid w:val="0"/>
    </w:pPr>
  </w:style>
  <w:style w:type="character" w:customStyle="1" w:styleId="a6">
    <w:name w:val="フッター (文字)"/>
    <w:basedOn w:val="a0"/>
    <w:link w:val="a5"/>
    <w:uiPriority w:val="99"/>
    <w:rsid w:val="00047B69"/>
    <w:rPr>
      <w:kern w:val="2"/>
      <w:sz w:val="24"/>
      <w:szCs w:val="24"/>
    </w:rPr>
  </w:style>
  <w:style w:type="paragraph" w:styleId="a7">
    <w:name w:val="Balloon Text"/>
    <w:basedOn w:val="a"/>
    <w:link w:val="a8"/>
    <w:uiPriority w:val="99"/>
    <w:semiHidden/>
    <w:unhideWhenUsed/>
    <w:rsid w:val="004A68F9"/>
    <w:rPr>
      <w:rFonts w:ascii="ヒラギノ角ゴ ProN W3" w:eastAsia="ヒラギノ角ゴ ProN W3"/>
      <w:sz w:val="18"/>
      <w:szCs w:val="18"/>
    </w:rPr>
  </w:style>
  <w:style w:type="character" w:customStyle="1" w:styleId="a8">
    <w:name w:val="吹き出し (文字)"/>
    <w:basedOn w:val="a0"/>
    <w:link w:val="a7"/>
    <w:uiPriority w:val="99"/>
    <w:semiHidden/>
    <w:rsid w:val="004A68F9"/>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【イントロダクション】</vt:lpstr>
    </vt:vector>
  </TitlesOfParts>
  <Company>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【イントロダクション】</dc:title>
  <dc:subject/>
  <dc:creator>Takashi Matsuwaki</dc:creator>
  <cp:keywords/>
  <dc:description/>
  <cp:lastModifiedBy>斎藤 成美</cp:lastModifiedBy>
  <cp:revision>2</cp:revision>
  <cp:lastPrinted>2007-06-17T16:49:00Z</cp:lastPrinted>
  <dcterms:created xsi:type="dcterms:W3CDTF">2024-01-23T02:52:00Z</dcterms:created>
  <dcterms:modified xsi:type="dcterms:W3CDTF">2024-01-23T02:52:00Z</dcterms:modified>
</cp:coreProperties>
</file>